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楷体" w:hAnsi="楷体" w:eastAsia="楷体"/>
          <w:b/>
          <w:color w:val="auto"/>
          <w:sz w:val="30"/>
          <w:szCs w:val="30"/>
          <w:lang w:eastAsia="zh-CN"/>
        </w:rPr>
      </w:pPr>
      <w:r>
        <w:rPr>
          <w:rFonts w:hint="eastAsia" w:ascii="楷体" w:hAnsi="楷体" w:eastAsia="楷体"/>
          <w:b/>
          <w:color w:val="auto"/>
          <w:sz w:val="30"/>
          <w:szCs w:val="30"/>
        </w:rPr>
        <w:t>附件</w:t>
      </w:r>
      <w:r>
        <w:rPr>
          <w:rFonts w:hint="eastAsia" w:ascii="楷体" w:hAnsi="楷体" w:eastAsia="楷体"/>
          <w:b/>
          <w:color w:val="auto"/>
          <w:sz w:val="30"/>
          <w:szCs w:val="30"/>
          <w:lang w:val="en-US" w:eastAsia="zh-CN"/>
        </w:rPr>
        <w:t>2</w:t>
      </w:r>
    </w:p>
    <w:p>
      <w:pPr>
        <w:tabs>
          <w:tab w:val="right" w:pos="8730"/>
        </w:tabs>
        <w:jc w:val="center"/>
        <w:outlineLvl w:val="0"/>
        <w:rPr>
          <w:rFonts w:ascii="华文中宋" w:hAnsi="华文中宋" w:eastAsia="华文中宋"/>
          <w:color w:val="000000"/>
          <w:sz w:val="36"/>
          <w:szCs w:val="36"/>
        </w:rPr>
      </w:pPr>
      <w:r>
        <w:rPr>
          <w:rFonts w:hint="eastAsia" w:ascii="华文中宋" w:hAnsi="华文中宋" w:eastAsia="华文中宋"/>
          <w:b/>
          <w:color w:val="auto"/>
          <w:sz w:val="36"/>
          <w:szCs w:val="36"/>
          <w:lang w:val="en-US" w:eastAsia="zh-CN"/>
        </w:rPr>
        <w:t>贵州</w:t>
      </w:r>
      <w:r>
        <w:rPr>
          <w:rFonts w:hint="eastAsia" w:ascii="华文中宋" w:hAnsi="华文中宋" w:eastAsia="华文中宋"/>
          <w:b/>
          <w:color w:val="auto"/>
          <w:sz w:val="36"/>
          <w:szCs w:val="36"/>
        </w:rPr>
        <w:t>新闻奖</w:t>
      </w:r>
      <w:r>
        <w:rPr>
          <w:rFonts w:hint="eastAsia" w:ascii="华文中宋" w:hAnsi="华文中宋" w:eastAsia="华文中宋"/>
          <w:b/>
          <w:color w:val="auto"/>
          <w:sz w:val="36"/>
          <w:szCs w:val="36"/>
          <w:lang w:val="en-US" w:eastAsia="zh-CN"/>
        </w:rPr>
        <w:t>新媒体</w:t>
      </w:r>
      <w:r>
        <w:rPr>
          <w:rFonts w:hint="eastAsia" w:ascii="华文中宋" w:hAnsi="华文中宋" w:eastAsia="华文中宋"/>
          <w:b/>
          <w:color w:val="auto"/>
          <w:sz w:val="36"/>
          <w:szCs w:val="36"/>
        </w:rPr>
        <w:t>参评作品推荐表</w:t>
      </w:r>
      <w:bookmarkStart w:id="0" w:name="附件3"/>
      <w:bookmarkEnd w:id="0"/>
    </w:p>
    <w:p>
      <w:pPr>
        <w:spacing w:line="200" w:lineRule="exact"/>
        <w:jc w:val="center"/>
        <w:rPr>
          <w:rFonts w:ascii="华文中宋" w:hAnsi="华文中宋" w:eastAsia="华文中宋"/>
          <w:color w:val="000000"/>
          <w:sz w:val="36"/>
          <w:szCs w:val="36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265"/>
        <w:gridCol w:w="1685"/>
        <w:gridCol w:w="241"/>
        <w:gridCol w:w="992"/>
        <w:gridCol w:w="452"/>
        <w:gridCol w:w="58"/>
        <w:gridCol w:w="1227"/>
        <w:gridCol w:w="400"/>
        <w:gridCol w:w="555"/>
        <w:gridCol w:w="851"/>
        <w:gridCol w:w="279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199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作品标题</w:t>
            </w:r>
          </w:p>
        </w:tc>
        <w:tc>
          <w:tcPr>
            <w:tcW w:w="3693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华文中宋" w:hAnsi="华文中宋" w:eastAsia="华文中宋" w:cs="Times New Roman"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t>只此青绿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参评项目</w:t>
            </w:r>
          </w:p>
        </w:tc>
        <w:tc>
          <w:tcPr>
            <w:tcW w:w="3506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华文仿宋" w:eastAsia="仿宋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t>融合报道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主创人员</w:t>
            </w:r>
          </w:p>
        </w:tc>
        <w:tc>
          <w:tcPr>
            <w:tcW w:w="36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t>赵雪梅、匡斌、税兵、简久兵、陈曦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编辑</w:t>
            </w:r>
          </w:p>
        </w:tc>
        <w:tc>
          <w:tcPr>
            <w:tcW w:w="35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t>文万、王涵璐、许帮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  <w:highlight w:val="yellow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原创单位</w:t>
            </w:r>
          </w:p>
        </w:tc>
        <w:tc>
          <w:tcPr>
            <w:tcW w:w="36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t>遵义市新闻传媒中心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发布平台</w:t>
            </w:r>
          </w:p>
        </w:tc>
        <w:tc>
          <w:tcPr>
            <w:tcW w:w="35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t>《遵视频》微信视频号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发布日期</w:t>
            </w:r>
          </w:p>
        </w:tc>
        <w:tc>
          <w:tcPr>
            <w:tcW w:w="8426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t>2023年1月10日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6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作品链接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和二维码</w:t>
            </w:r>
          </w:p>
        </w:tc>
        <w:tc>
          <w:tcPr>
            <w:tcW w:w="842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fldChar w:fldCharType="begin"/>
            </w: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instrText xml:space="preserve"> HYPERLINK "https://weixin.qq.com/sph/AWAOCW7Ix" </w:instrText>
            </w: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fldChar w:fldCharType="separate"/>
            </w:r>
            <w:r>
              <w:rPr>
                <w:rStyle w:val="7"/>
                <w:rFonts w:hint="eastAsia" w:ascii="华文中宋" w:hAnsi="华文中宋" w:eastAsia="华文中宋" w:cs="Times New Roman"/>
                <w:sz w:val="24"/>
                <w:lang w:val="en-US" w:eastAsia="zh-CN"/>
              </w:rPr>
              <w:t>https://weixin.qq.com/sph/AWAOCW7Ix</w:t>
            </w: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fldChar w:fldCharType="end"/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63500</wp:posOffset>
                  </wp:positionH>
                  <wp:positionV relativeFrom="paragraph">
                    <wp:posOffset>635</wp:posOffset>
                  </wp:positionV>
                  <wp:extent cx="912495" cy="912495"/>
                  <wp:effectExtent l="0" t="0" r="1905" b="1905"/>
                  <wp:wrapThrough wrapText="bothSides">
                    <wp:wrapPolygon>
                      <wp:start x="0" y="0"/>
                      <wp:lineTo x="0" y="21194"/>
                      <wp:lineTo x="21194" y="21194"/>
                      <wp:lineTo x="21194" y="0"/>
                      <wp:lineTo x="0" y="0"/>
                    </wp:wrapPolygon>
                  </wp:wrapThrough>
                  <wp:docPr id="1" name="图片 1" descr="只此青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只此青绿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2495" cy="912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6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作品简介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pacing w:val="-20"/>
                <w:sz w:val="24"/>
              </w:rPr>
            </w:pPr>
            <w:r>
              <w:rPr>
                <w:rFonts w:hint="eastAsia" w:ascii="华文中宋" w:hAnsi="华文中宋" w:eastAsia="华文中宋"/>
                <w:spacing w:val="-20"/>
                <w:sz w:val="24"/>
              </w:rPr>
              <w:t>（采编</w:t>
            </w:r>
            <w:r>
              <w:rPr>
                <w:rFonts w:ascii="华文中宋" w:hAnsi="华文中宋" w:eastAsia="华文中宋"/>
                <w:spacing w:val="-20"/>
                <w:sz w:val="24"/>
              </w:rPr>
              <w:t>过程</w:t>
            </w:r>
            <w:r>
              <w:rPr>
                <w:rFonts w:hint="eastAsia" w:ascii="华文中宋" w:hAnsi="华文中宋" w:eastAsia="华文中宋"/>
                <w:spacing w:val="-20"/>
                <w:sz w:val="24"/>
              </w:rPr>
              <w:t>）</w:t>
            </w:r>
          </w:p>
        </w:tc>
        <w:tc>
          <w:tcPr>
            <w:tcW w:w="842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仿宋" w:hAnsi="仿宋" w:eastAsia="仿宋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2"/>
                <w:szCs w:val="22"/>
                <w:lang w:val="en-US" w:eastAsia="zh-CN"/>
              </w:rPr>
              <w:t>党的二十大报告指出，“中国式现代化是人与自然和谐共生的现代化”。理论宣讲短视频《只此青绿》，创新理论宣讲方式，走进竹乡赤水，见证一家三代人的绿色接力，生动诠释了“绿水青山就是金山银山”的“两山论”，讲述了人与自然和谐共生的中国式现代化。专家也结合打卡实践，解读党的二十报告中的关键词，做到有细节、有高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4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社会效果</w:t>
            </w:r>
          </w:p>
        </w:tc>
        <w:tc>
          <w:tcPr>
            <w:tcW w:w="842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仿宋" w:hAnsi="仿宋" w:eastAsia="仿宋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2"/>
                <w:szCs w:val="22"/>
                <w:lang w:val="en-US" w:eastAsia="zh-CN"/>
              </w:rPr>
              <w:t>《只此青绿》获得中宣部评选的优秀理论宣讲微视频称号；</w:t>
            </w:r>
          </w:p>
          <w:p>
            <w:pPr>
              <w:jc w:val="left"/>
              <w:rPr>
                <w:rFonts w:hint="eastAsia" w:ascii="仿宋" w:hAnsi="仿宋" w:eastAsia="仿宋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2"/>
                <w:szCs w:val="22"/>
                <w:lang w:val="en-US" w:eastAsia="zh-CN"/>
              </w:rPr>
              <w:t>荣获由贵州省委宣传部主办的全省优秀理论宣讲短视频二等奖。</w:t>
            </w:r>
          </w:p>
          <w:p>
            <w:pPr>
              <w:jc w:val="left"/>
              <w:rPr>
                <w:rFonts w:hint="default" w:ascii="仿宋" w:hAnsi="仿宋" w:eastAsia="仿宋" w:cs="Times New Roman"/>
                <w:sz w:val="22"/>
                <w:szCs w:val="22"/>
                <w:lang w:val="en-US"/>
              </w:rPr>
            </w:pPr>
            <w:r>
              <w:rPr>
                <w:rFonts w:hint="eastAsia" w:ascii="仿宋" w:hAnsi="仿宋" w:eastAsia="仿宋" w:cs="Times New Roman"/>
                <w:sz w:val="22"/>
                <w:szCs w:val="22"/>
                <w:lang w:val="en-US" w:eastAsia="zh-CN"/>
              </w:rPr>
              <w:t>除了市级媒体，还在央视号、中国新闻网、人民网贵州频道、天眼新闻 、动静贵州等央媒、省媒转载播出。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4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推荐理由</w:t>
            </w:r>
          </w:p>
          <w:p>
            <w:pPr>
              <w:spacing w:line="380" w:lineRule="exact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42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该篇讲述</w:t>
            </w:r>
            <w:r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作为全国第二批“绿水青山就是金山银山”创新实践基地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——</w:t>
            </w:r>
            <w:r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赤水市，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以护林员刘磊</w:t>
            </w:r>
            <w:r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一家三代接力造林、护林，用心守护“绿色宝藏”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为背景</w:t>
            </w:r>
            <w:r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。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介绍遵义市通过</w:t>
            </w:r>
            <w:r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完善“林长制”，在推进生态文明建设的过程中，践行“两山”理念，生动讲述了人与自然和谐共生的中国式现代化。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                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 签名：</w:t>
            </w:r>
          </w:p>
          <w:p>
            <w:pPr>
              <w:spacing w:line="3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 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（加盖单位公章）</w:t>
            </w:r>
          </w:p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         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  </w:t>
            </w:r>
            <w:r>
              <w:rPr>
                <w:rFonts w:ascii="华文中宋" w:hAnsi="华文中宋" w:eastAsia="华文中宋"/>
                <w:sz w:val="24"/>
              </w:rPr>
              <w:t>年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</w:rPr>
              <w:t>月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联系人</w:t>
            </w:r>
          </w:p>
        </w:tc>
        <w:tc>
          <w:tcPr>
            <w:tcW w:w="21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赵雪梅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邮箱</w:t>
            </w:r>
          </w:p>
        </w:tc>
        <w:tc>
          <w:tcPr>
            <w:tcW w:w="26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  <w:lang w:val="en-US" w:eastAsia="zh-CN"/>
              </w:rPr>
              <w:t>68183936@qq.com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手机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18685611983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6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地址</w:t>
            </w:r>
          </w:p>
        </w:tc>
        <w:tc>
          <w:tcPr>
            <w:tcW w:w="5875" w:type="dxa"/>
            <w:gridSpan w:val="9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贵州省遵义市新蒲新区府前路遵义市新闻传媒中心</w:t>
            </w:r>
          </w:p>
        </w:tc>
        <w:tc>
          <w:tcPr>
            <w:tcW w:w="8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邮编</w:t>
            </w:r>
          </w:p>
        </w:tc>
        <w:tc>
          <w:tcPr>
            <w:tcW w:w="17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563000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008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pos="8730"/>
              </w:tabs>
              <w:jc w:val="center"/>
              <w:outlineLvl w:val="0"/>
              <w:rPr>
                <w:rFonts w:ascii="华文中宋" w:hAnsi="华文中宋" w:eastAsia="华文中宋" w:cs="华文中宋"/>
                <w:bCs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Cs/>
                <w:sz w:val="28"/>
                <w:szCs w:val="28"/>
              </w:rPr>
              <w:t>以下仅自荐、他荐参评作品填写</w:t>
            </w: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exact"/>
          <w:jc w:val="center"/>
        </w:trPr>
        <w:tc>
          <w:tcPr>
            <w:tcW w:w="192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推荐人姓名</w:t>
            </w:r>
          </w:p>
        </w:tc>
        <w:tc>
          <w:tcPr>
            <w:tcW w:w="1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exact"/>
          <w:jc w:val="center"/>
        </w:trPr>
        <w:tc>
          <w:tcPr>
            <w:tcW w:w="1927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推荐人姓名</w:t>
            </w:r>
          </w:p>
        </w:tc>
        <w:tc>
          <w:tcPr>
            <w:tcW w:w="1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exact"/>
          <w:jc w:val="center"/>
        </w:trPr>
        <w:tc>
          <w:tcPr>
            <w:tcW w:w="1927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联系人姓名</w:t>
            </w:r>
          </w:p>
        </w:tc>
        <w:tc>
          <w:tcPr>
            <w:tcW w:w="1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手机</w:t>
            </w: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7" w:hRule="exact"/>
          <w:jc w:val="center"/>
        </w:trPr>
        <w:tc>
          <w:tcPr>
            <w:tcW w:w="1927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推荐理由及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ascii="华文中宋" w:hAnsi="华文中宋" w:eastAsia="华文中宋"/>
                <w:sz w:val="24"/>
              </w:rPr>
              <w:t>推荐人意见</w:t>
            </w:r>
          </w:p>
        </w:tc>
        <w:tc>
          <w:tcPr>
            <w:tcW w:w="816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360" w:firstLineChars="150"/>
              <w:rPr>
                <w:rFonts w:ascii="仿宋" w:hAnsi="仿宋" w:eastAsia="仿宋"/>
                <w:b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推荐人（两名）签名：</w:t>
            </w: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               </w:t>
            </w:r>
            <w:r>
              <w:rPr>
                <w:rFonts w:hint="eastAsia" w:ascii="华文中宋" w:hAnsi="华文中宋" w:eastAsia="华文中宋"/>
                <w:sz w:val="24"/>
              </w:rPr>
              <w:t>自荐、他荐人签名：</w:t>
            </w: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</w:t>
            </w:r>
          </w:p>
          <w:p>
            <w:pPr>
              <w:ind w:firstLine="4200" w:firstLineChars="2000"/>
              <w:rPr>
                <w:rFonts w:ascii="仿宋" w:hAnsi="仿宋" w:eastAsia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（单位自荐、他荐的，由单位</w:t>
            </w:r>
          </w:p>
          <w:p>
            <w:pPr>
              <w:ind w:firstLine="4410" w:firstLineChars="210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负责人签名并加盖单位公章）</w:t>
            </w:r>
          </w:p>
          <w:p>
            <w:pPr>
              <w:ind w:firstLine="5040" w:firstLineChars="2400"/>
              <w:rPr>
                <w:rFonts w:ascii="仿宋" w:hAnsi="仿宋" w:eastAsia="仿宋"/>
                <w:color w:val="000000"/>
                <w:szCs w:val="21"/>
              </w:rPr>
            </w:pPr>
          </w:p>
          <w:p>
            <w:pPr>
              <w:spacing w:line="380" w:lineRule="exact"/>
              <w:ind w:firstLine="480" w:firstLineChars="200"/>
              <w:rPr>
                <w:rFonts w:ascii="仿宋_GB2312" w:eastAsia="仿宋_GB2312"/>
                <w:sz w:val="28"/>
              </w:rPr>
            </w:pP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   </w:t>
            </w:r>
            <w:r>
              <w:rPr>
                <w:rFonts w:ascii="华文中宋" w:hAnsi="华文中宋" w:eastAsia="华文中宋"/>
                <w:sz w:val="24"/>
              </w:rPr>
              <w:t xml:space="preserve">年    月    日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    </w:t>
            </w:r>
            <w:r>
              <w:rPr>
                <w:rFonts w:ascii="华文中宋" w:hAnsi="华文中宋" w:eastAsia="华文中宋"/>
                <w:sz w:val="24"/>
              </w:rPr>
              <w:t xml:space="preserve">年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月</w:t>
            </w:r>
            <w:r>
              <w:rPr>
                <w:rFonts w:ascii="华文中宋" w:hAnsi="华文中宋" w:eastAsia="华文中宋"/>
                <w:sz w:val="24"/>
              </w:rPr>
              <w:t xml:space="preserve">   </w:t>
            </w:r>
            <w:r>
              <w:rPr>
                <w:rFonts w:hint="eastAsia" w:ascii="华文中宋" w:hAnsi="华文中宋" w:eastAsia="华文中宋"/>
                <w:sz w:val="24"/>
              </w:rPr>
              <w:t>日</w:t>
            </w:r>
          </w:p>
        </w:tc>
      </w:tr>
    </w:tbl>
    <w:p>
      <w:pPr>
        <w:jc w:val="left"/>
        <w:rPr>
          <w:rFonts w:hint="eastAsia" w:ascii="楷体" w:hAnsi="楷体" w:eastAsia="楷体" w:cs="仿宋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仿宋"/>
          <w:b/>
          <w:bCs/>
          <w:color w:val="auto"/>
          <w:kern w:val="0"/>
          <w:sz w:val="28"/>
          <w:szCs w:val="28"/>
          <w:lang w:val="en-US" w:eastAsia="zh-CN"/>
        </w:rPr>
        <w:t>注：非自荐、他荐作品此部分可不打印</w:t>
      </w:r>
    </w:p>
    <w:p>
      <w:pPr>
        <w:jc w:val="left"/>
        <w:rPr>
          <w:rFonts w:hint="eastAsia" w:ascii="楷体" w:hAnsi="楷体" w:eastAsia="楷体" w:cs="仿宋"/>
          <w:b/>
          <w:bCs/>
          <w:color w:val="auto"/>
          <w:kern w:val="0"/>
          <w:sz w:val="28"/>
          <w:szCs w:val="28"/>
          <w:lang w:val="en-US" w:eastAsia="zh-CN"/>
        </w:rPr>
      </w:pPr>
    </w:p>
    <w:p>
      <w:pPr>
        <w:jc w:val="left"/>
        <w:rPr>
          <w:rFonts w:hint="eastAsia" w:ascii="楷体" w:hAnsi="楷体" w:eastAsia="楷体" w:cs="仿宋"/>
          <w:b/>
          <w:bCs/>
          <w:color w:val="auto"/>
          <w:kern w:val="0"/>
          <w:sz w:val="28"/>
          <w:szCs w:val="28"/>
          <w:lang w:val="en-US" w:eastAsia="zh-CN"/>
        </w:rPr>
      </w:pPr>
    </w:p>
    <w:p>
      <w:pPr>
        <w:jc w:val="left"/>
        <w:rPr>
          <w:rFonts w:hint="eastAsia" w:ascii="楷体" w:hAnsi="楷体" w:eastAsia="楷体" w:cs="仿宋"/>
          <w:b/>
          <w:bCs/>
          <w:color w:val="auto"/>
          <w:kern w:val="0"/>
          <w:sz w:val="28"/>
          <w:szCs w:val="28"/>
          <w:lang w:val="en-US" w:eastAsia="zh-CN"/>
        </w:rPr>
      </w:pPr>
    </w:p>
    <w:p>
      <w:pPr>
        <w:jc w:val="left"/>
        <w:rPr>
          <w:rFonts w:hint="eastAsia" w:ascii="楷体" w:hAnsi="楷体" w:eastAsia="楷体" w:cs="仿宋"/>
          <w:b/>
          <w:bCs/>
          <w:color w:val="auto"/>
          <w:kern w:val="0"/>
          <w:sz w:val="28"/>
          <w:szCs w:val="28"/>
          <w:lang w:val="en-US" w:eastAsia="zh-CN"/>
        </w:rPr>
      </w:pPr>
    </w:p>
    <w:p>
      <w:pPr>
        <w:jc w:val="left"/>
        <w:rPr>
          <w:rFonts w:hint="eastAsia" w:ascii="楷体" w:hAnsi="楷体" w:eastAsia="楷体" w:cs="仿宋"/>
          <w:b/>
          <w:bCs/>
          <w:color w:val="auto"/>
          <w:kern w:val="0"/>
          <w:sz w:val="28"/>
          <w:szCs w:val="28"/>
          <w:lang w:val="en-US" w:eastAsia="zh-CN"/>
        </w:rPr>
      </w:pPr>
    </w:p>
    <w:p>
      <w:pPr>
        <w:jc w:val="left"/>
        <w:rPr>
          <w:rFonts w:hint="eastAsia" w:ascii="楷体" w:hAnsi="楷体" w:eastAsia="楷体" w:cs="仿宋"/>
          <w:b/>
          <w:bCs/>
          <w:color w:val="auto"/>
          <w:kern w:val="0"/>
          <w:sz w:val="28"/>
          <w:szCs w:val="28"/>
          <w:lang w:val="en-US" w:eastAsia="zh-CN"/>
        </w:rPr>
      </w:pPr>
    </w:p>
    <w:p>
      <w:pPr>
        <w:jc w:val="left"/>
        <w:rPr>
          <w:rFonts w:hint="eastAsia" w:ascii="楷体" w:hAnsi="楷体" w:eastAsia="楷体" w:cs="仿宋"/>
          <w:b/>
          <w:bCs/>
          <w:color w:val="auto"/>
          <w:kern w:val="0"/>
          <w:sz w:val="28"/>
          <w:szCs w:val="28"/>
          <w:lang w:val="en-US" w:eastAsia="zh-CN"/>
        </w:rPr>
      </w:pPr>
    </w:p>
    <w:p>
      <w:pPr>
        <w:jc w:val="left"/>
        <w:rPr>
          <w:rFonts w:hint="eastAsia" w:ascii="楷体" w:hAnsi="楷体" w:eastAsia="楷体" w:cs="仿宋"/>
          <w:b/>
          <w:bCs/>
          <w:color w:val="auto"/>
          <w:kern w:val="0"/>
          <w:sz w:val="28"/>
          <w:szCs w:val="28"/>
          <w:lang w:val="en-US" w:eastAsia="zh-CN"/>
        </w:rPr>
      </w:pPr>
    </w:p>
    <w:p>
      <w:pPr>
        <w:jc w:val="left"/>
        <w:rPr>
          <w:rFonts w:hint="eastAsia" w:ascii="楷体" w:hAnsi="楷体" w:eastAsia="楷体" w:cs="仿宋"/>
          <w:b/>
          <w:bCs/>
          <w:color w:val="auto"/>
          <w:kern w:val="0"/>
          <w:sz w:val="28"/>
          <w:szCs w:val="28"/>
          <w:lang w:val="en-US" w:eastAsia="zh-CN"/>
        </w:rPr>
      </w:pPr>
    </w:p>
    <w:p>
      <w:pPr>
        <w:jc w:val="center"/>
        <w:rPr>
          <w:rFonts w:hint="default" w:ascii="楷体" w:hAnsi="楷体" w:eastAsia="楷体" w:cs="仿宋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Times New Roman"/>
          <w:sz w:val="28"/>
          <w:szCs w:val="28"/>
          <w:lang w:val="en-US" w:eastAsia="zh-CN"/>
        </w:rPr>
        <w:t>《只此青绿》作品二维码</w:t>
      </w:r>
    </w:p>
    <w:p/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3863975" cy="3863975"/>
            <wp:effectExtent l="0" t="0" r="9525" b="9525"/>
            <wp:docPr id="2" name="图片 2" descr="只此青绿（二维码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只此青绿（二维码）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63975" cy="386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3472815" cy="7717155"/>
            <wp:effectExtent l="0" t="0" r="6985" b="4445"/>
            <wp:docPr id="5" name="图片 5" descr="只此青绿 （首页截图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只此青绿 （首页截图）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72815" cy="771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华文中宋" w:hAnsi="华文中宋" w:eastAsia="华文中宋" w:cs="Times New Roman"/>
          <w:sz w:val="24"/>
          <w:lang w:val="en-US" w:eastAsia="zh-CN"/>
        </w:rPr>
      </w:pPr>
    </w:p>
    <w:p>
      <w:pPr>
        <w:ind w:firstLine="240" w:firstLineChars="100"/>
        <w:rPr>
          <w:rFonts w:hint="eastAsia" w:ascii="华文中宋" w:hAnsi="华文中宋" w:eastAsia="华文中宋" w:cs="Times New Roman"/>
          <w:sz w:val="24"/>
          <w:lang w:val="en-US" w:eastAsia="zh-CN"/>
        </w:rPr>
      </w:pPr>
      <w:r>
        <w:rPr>
          <w:rFonts w:hint="eastAsia" w:ascii="华文中宋" w:hAnsi="华文中宋" w:eastAsia="华文中宋" w:cs="Times New Roman"/>
          <w:sz w:val="24"/>
          <w:lang w:val="en-US" w:eastAsia="zh-CN"/>
        </w:rPr>
        <w:t>《只此青绿》首页截图</w:t>
      </w:r>
    </w:p>
    <w:p>
      <w:pPr>
        <w:ind w:firstLine="240" w:firstLineChars="100"/>
        <w:rPr>
          <w:rFonts w:hint="eastAsia" w:ascii="华文中宋" w:hAnsi="华文中宋" w:eastAsia="华文中宋" w:cs="Times New Roman"/>
          <w:sz w:val="24"/>
          <w:lang w:val="en-US" w:eastAsia="zh-CN"/>
        </w:rPr>
      </w:pPr>
    </w:p>
    <w:p>
      <w:pPr>
        <w:pStyle w:val="2"/>
        <w:bidi w:val="0"/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只此青绿（视频文稿）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全媒记者:赵雪梅 金枭枭  简久兵 税兵 徐晃 何骥淯 罗拉 黄敏</w:t>
      </w:r>
      <w:bookmarkStart w:id="1" w:name="_GoBack"/>
      <w:bookmarkEnd w:id="1"/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记者出镜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陈曦：哇，好茂密的一片竹林。叔叔我们这片竹林一直都是这个样子吗？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老护林员 刘祖林:不是以前没这么好，以前村民生态保护的意识不强。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现场同期】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林场场长 护林员 刘磊：现在这个村民的保护意识有了很大提高。通过我们的巡护和宣传从以前的被动保护，变成了现在的主动保护。森林覆盖率现在已经达到了95%以上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陈曦：我们的生态环境是越来越好了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林场场长 护林员 刘磊：是啊特别是夏天的时候，可以看见松鼠、猴子，在这个竹林里面跳来跳去。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现场同期】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林场场长 护林员 刘磊：爸爸你慢点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老护林员 刘祖林:没得关系的，走了几十年了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陈曦：叔叔现在还在参与巡山工作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林场场长 护林员 刘磊：他退休了好几年了但是闲不住，主要对林子有感情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陈曦：走这个路跟以前相比，您觉得有有什么变化没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老护林员 刘祖林:以前我山上这路都没有，都是草草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林场场长 护林员 刘磊：我爷爷我父亲和我，我们三代都是林业职工。他们当时护林的时候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条件是相当的艰苦，现在条件好了， 这个接力棒也交到了我的手上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老护林员 刘祖林:这棵树就是我们30多年前栽的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陈曦：当时栽下去的时候多大了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老护林员 刘祖林:栽下去的时候就像笔杆那么大，和拇指粗差不多，一合抱你都抱不完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音乐过渡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陈曦：这里有条河，这水流还挺大的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林场场长 护林员 刘磊：这条河叫大同河，是我们赤水河的一个支流，这条河的水质是非常的不错，里面的鱼类的品种也特别多。近几年还发现了不少珍稀的鱼类的品种。这都得益于我们平时对林子的保护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陈曦：林子美丽了我们的家园，也筑牢了咱们长江上游的生态屏障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林场场长 护林员 刘磊：对生态确实变好了，现在我们连空气都可以变现了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陈曦：空气变现？怎么变？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林场场长 护林员 刘磊：今年我们赤水在十月份发行了第一张这个贵州省的竹林碳票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陈曦：这个碳票是什么呢?我一点概念都没有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林场场长 护林员 刘磊：我们护林房里面有,我一会带你去看吧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现场同期】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林场场长 护林员 刘磊：这里就是我们的管护房,现在的条件好了,我们专门修了这个管护房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里面的家电这些都是齐全的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音乐过渡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林场场长 护林员 刘磊：这个就是我们的竹林碳票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陈曦：这张小小的探票到底有什么意义呢?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ind w:firstLine="240" w:firstLineChars="100"/>
        <w:rPr>
          <w:rFonts w:hint="default" w:ascii="华文中宋" w:hAnsi="华文中宋" w:eastAsia="华文中宋" w:cs="Times New Roman"/>
          <w:sz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I4NGM2N2IxOTU4NTc1NDIyMTkzOWExNGZjNGY3ODAifQ=="/>
  </w:docVars>
  <w:rsids>
    <w:rsidRoot w:val="740D42B2"/>
    <w:rsid w:val="234267CC"/>
    <w:rsid w:val="277D4E5C"/>
    <w:rsid w:val="5768527B"/>
    <w:rsid w:val="5B5F72AF"/>
    <w:rsid w:val="740D4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7">
    <w:name w:val="Hyperlink"/>
    <w:autoRedefine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2024-03-04T06:56:00Z</dcterms:created>
  <dc:creator>*言*午*/:)</dc:creator>
  <cp:lastModifiedBy>美丽心情</cp:lastModifiedBy>
  <dcterms:modified xsi:type="dcterms:W3CDTF">2024-03-14T13:33:18Z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1E6E8C3C6570467F8B1C28A20AFA39F8_13</vt:lpwstr>
  </property>
</Properties>
</file>